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5D" w:rsidRDefault="00A3285D">
      <w:pPr>
        <w:spacing w:before="8" w:line="110" w:lineRule="exact"/>
        <w:rPr>
          <w:rFonts w:asciiTheme="minorHAnsi" w:hAnsiTheme="minorHAnsi" w:cs="Calibri"/>
          <w:sz w:val="26"/>
          <w:szCs w:val="26"/>
        </w:rPr>
      </w:pPr>
      <w:bookmarkStart w:id="0" w:name="_GoBack"/>
      <w:bookmarkEnd w:id="0"/>
    </w:p>
    <w:p w:rsidR="00A3285D" w:rsidRDefault="00A3285D">
      <w:pPr>
        <w:spacing w:before="8" w:line="110" w:lineRule="exact"/>
        <w:rPr>
          <w:rFonts w:asciiTheme="minorHAnsi" w:hAnsiTheme="minorHAnsi" w:cs="Calibri"/>
          <w:sz w:val="26"/>
          <w:szCs w:val="26"/>
        </w:rPr>
      </w:pPr>
    </w:p>
    <w:p w:rsidR="00A3285D" w:rsidRDefault="00A3285D">
      <w:pPr>
        <w:spacing w:before="8" w:line="110" w:lineRule="exact"/>
        <w:rPr>
          <w:rFonts w:asciiTheme="minorHAnsi" w:hAnsiTheme="minorHAnsi" w:cs="Calibri"/>
          <w:sz w:val="26"/>
          <w:szCs w:val="26"/>
        </w:rPr>
      </w:pPr>
    </w:p>
    <w:p w:rsidR="00A3285D" w:rsidRDefault="00A3285D">
      <w:pPr>
        <w:spacing w:before="8" w:line="110" w:lineRule="exact"/>
        <w:rPr>
          <w:rFonts w:asciiTheme="minorHAnsi" w:hAnsiTheme="minorHAnsi" w:cs="Calibri"/>
          <w:sz w:val="26"/>
          <w:szCs w:val="26"/>
        </w:rPr>
      </w:pPr>
    </w:p>
    <w:p w:rsidR="00A3285D" w:rsidRDefault="00C56FFE">
      <w:pPr>
        <w:spacing w:line="276" w:lineRule="auto"/>
        <w:ind w:left="114" w:right="25"/>
        <w:jc w:val="center"/>
        <w:rPr>
          <w:rFonts w:asciiTheme="minorHAnsi" w:hAnsiTheme="minorHAnsi" w:cs="Calibri"/>
          <w:b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2124075" cy="981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5D" w:rsidRDefault="00A3285D">
      <w:pPr>
        <w:spacing w:line="276" w:lineRule="auto"/>
        <w:ind w:left="114" w:right="25"/>
        <w:jc w:val="both"/>
        <w:rPr>
          <w:rFonts w:asciiTheme="minorHAnsi" w:hAnsiTheme="minorHAnsi" w:cs="Calibri"/>
          <w:b/>
          <w:sz w:val="26"/>
          <w:szCs w:val="26"/>
        </w:rPr>
      </w:pPr>
    </w:p>
    <w:p w:rsidR="00A3285D" w:rsidRDefault="0052788B" w:rsidP="0052788B">
      <w:pPr>
        <w:ind w:left="360"/>
        <w:contextualSpacing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Allegato 1 all’avviso di indagine di mercato</w:t>
      </w:r>
    </w:p>
    <w:p w:rsidR="0052788B" w:rsidRDefault="0052788B" w:rsidP="0052788B">
      <w:pPr>
        <w:ind w:left="360"/>
        <w:contextualSpacing/>
        <w:rPr>
          <w:rFonts w:asciiTheme="minorHAnsi" w:hAnsiTheme="minorHAnsi" w:cstheme="minorHAnsi"/>
          <w:b/>
          <w:sz w:val="36"/>
          <w:szCs w:val="36"/>
        </w:rPr>
      </w:pPr>
    </w:p>
    <w:p w:rsidR="00A3285D" w:rsidRDefault="00433C40" w:rsidP="00894BA1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autoSpaceDE w:val="0"/>
        <w:spacing w:before="120"/>
        <w:jc w:val="center"/>
        <w:rPr>
          <w:rFonts w:asciiTheme="minorHAnsi" w:hAnsiTheme="minorHAnsi" w:cs="Calibri"/>
          <w:sz w:val="26"/>
          <w:szCs w:val="26"/>
        </w:rPr>
      </w:pPr>
      <w:r>
        <w:rPr>
          <w:rFonts w:ascii="Calibri" w:hAnsi="Calibri" w:cs="Calibri"/>
          <w:b/>
          <w:sz w:val="44"/>
        </w:rPr>
        <w:t xml:space="preserve">AFFIDAMENTO </w:t>
      </w:r>
      <w:r w:rsidR="00894BA1">
        <w:rPr>
          <w:rFonts w:ascii="Calibri" w:hAnsi="Calibri" w:cs="Calibri"/>
          <w:b/>
          <w:sz w:val="44"/>
        </w:rPr>
        <w:t xml:space="preserve">IN CONCESSIONE </w:t>
      </w:r>
      <w:r w:rsidR="00894BA1" w:rsidRPr="00894BA1">
        <w:rPr>
          <w:rFonts w:ascii="Calibri" w:hAnsi="Calibri" w:cs="Calibri"/>
          <w:b/>
          <w:bCs/>
          <w:sz w:val="44"/>
        </w:rPr>
        <w:t>DELLA GESTIONE DI CENTRI ESTIVI PER BAMBINI/E DI ETA’ COMPRESA TRA I 3 E I 6 ANNI NEL COMUNE DI JESI.</w:t>
      </w:r>
    </w:p>
    <w:p w:rsidR="00A3285D" w:rsidRDefault="00A3285D">
      <w:pPr>
        <w:spacing w:line="276" w:lineRule="auto"/>
        <w:ind w:right="25"/>
        <w:jc w:val="both"/>
        <w:rPr>
          <w:rFonts w:asciiTheme="minorHAnsi" w:hAnsiTheme="minorHAnsi" w:cs="Calibri"/>
          <w:sz w:val="26"/>
          <w:szCs w:val="26"/>
        </w:rPr>
      </w:pPr>
    </w:p>
    <w:p w:rsidR="00CD0D31" w:rsidRPr="00894BA1" w:rsidRDefault="00894BA1" w:rsidP="00894BA1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894BA1">
        <w:rPr>
          <w:rFonts w:asciiTheme="minorHAnsi" w:hAnsiTheme="minorHAnsi" w:cstheme="minorHAnsi"/>
          <w:b/>
        </w:rPr>
        <w:t>CRITERIO DI AGGIUDICAZIONE</w:t>
      </w:r>
    </w:p>
    <w:p w:rsidR="00894BA1" w:rsidRPr="00894BA1" w:rsidRDefault="00894BA1" w:rsidP="00894BA1">
      <w:pPr>
        <w:autoSpaceDE w:val="0"/>
        <w:autoSpaceDN w:val="0"/>
        <w:adjustRightInd w:val="0"/>
        <w:spacing w:line="276" w:lineRule="auto"/>
        <w:ind w:left="214" w:right="167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La concessione è aggiudicata in base al criterio dell’offerta economicamente più vantaggiosa individuata sulla base del miglior rapporto qualità/prezzo, ai sensi dell’art. 142 comma 5-septies del Codice.</w:t>
      </w:r>
    </w:p>
    <w:p w:rsidR="00894BA1" w:rsidRPr="00894BA1" w:rsidRDefault="00894BA1" w:rsidP="00894BA1">
      <w:pPr>
        <w:autoSpaceDE w:val="0"/>
        <w:autoSpaceDN w:val="0"/>
        <w:adjustRightInd w:val="0"/>
        <w:spacing w:before="19" w:line="310" w:lineRule="atLeast"/>
        <w:ind w:left="214" w:right="165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 xml:space="preserve">La valutazione dell’offerta tecnica e dell’offerta economica sarà effettuata in base ai seguenti punteggi </w:t>
      </w:r>
    </w:p>
    <w:p w:rsidR="00894BA1" w:rsidRPr="00894BA1" w:rsidRDefault="00894BA1" w:rsidP="00894BA1">
      <w:pPr>
        <w:autoSpaceDE w:val="0"/>
        <w:autoSpaceDN w:val="0"/>
        <w:adjustRightInd w:val="0"/>
        <w:spacing w:line="100" w:lineRule="exact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6"/>
        <w:gridCol w:w="5479"/>
      </w:tblGrid>
      <w:tr w:rsidR="00894BA1" w:rsidRPr="00894BA1" w:rsidTr="00FD5F5E">
        <w:trPr>
          <w:trHeight w:hRule="exact" w:val="385"/>
        </w:trPr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before="41"/>
              <w:ind w:left="1845" w:right="-2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PUNTEGGIO MASSIMO</w:t>
            </w:r>
          </w:p>
        </w:tc>
      </w:tr>
      <w:tr w:rsidR="00894BA1" w:rsidRPr="00894BA1" w:rsidTr="00FD5F5E">
        <w:trPr>
          <w:trHeight w:hRule="exact" w:val="320"/>
        </w:trPr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line="269" w:lineRule="exact"/>
              <w:ind w:left="1359" w:right="-2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Offerta tecnica</w:t>
            </w: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line="269" w:lineRule="exact"/>
              <w:ind w:left="1917" w:right="1897"/>
              <w:jc w:val="center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70</w:t>
            </w:r>
          </w:p>
        </w:tc>
      </w:tr>
      <w:tr w:rsidR="00894BA1" w:rsidRPr="00894BA1" w:rsidTr="00FD5F5E">
        <w:trPr>
          <w:trHeight w:hRule="exact" w:val="320"/>
        </w:trPr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line="269" w:lineRule="exact"/>
              <w:ind w:left="1179" w:right="-2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Offerta economica</w:t>
            </w: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30</w:t>
            </w:r>
          </w:p>
        </w:tc>
      </w:tr>
      <w:tr w:rsidR="00894BA1" w:rsidRPr="00894BA1" w:rsidTr="00FD5F5E">
        <w:trPr>
          <w:trHeight w:hRule="exact" w:val="348"/>
        </w:trPr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before="41"/>
              <w:ind w:left="1650" w:right="1633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TOTALE</w:t>
            </w: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line="268" w:lineRule="exact"/>
              <w:ind w:right="1725"/>
              <w:jc w:val="center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 xml:space="preserve">                                100</w:t>
            </w:r>
          </w:p>
        </w:tc>
      </w:tr>
    </w:tbl>
    <w:p w:rsidR="00894BA1" w:rsidRPr="00894BA1" w:rsidRDefault="00894BA1" w:rsidP="00894BA1">
      <w:pPr>
        <w:autoSpaceDE w:val="0"/>
        <w:autoSpaceDN w:val="0"/>
        <w:adjustRightInd w:val="0"/>
        <w:spacing w:line="200" w:lineRule="exact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894BA1" w:rsidP="00894BA1">
      <w:pPr>
        <w:autoSpaceDE w:val="0"/>
        <w:autoSpaceDN w:val="0"/>
        <w:adjustRightInd w:val="0"/>
        <w:spacing w:line="200" w:lineRule="exact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894BA1" w:rsidP="00894BA1">
      <w:pPr>
        <w:autoSpaceDE w:val="0"/>
        <w:autoSpaceDN w:val="0"/>
        <w:adjustRightInd w:val="0"/>
        <w:spacing w:before="13" w:line="200" w:lineRule="exact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894BA1" w:rsidP="00894BA1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41"/>
        <w:jc w:val="both"/>
        <w:rPr>
          <w:rFonts w:asciiTheme="minorHAnsi" w:hAnsiTheme="minorHAnsi" w:cstheme="minorHAnsi"/>
          <w:b/>
        </w:rPr>
      </w:pPr>
      <w:r w:rsidRPr="00894BA1">
        <w:rPr>
          <w:rFonts w:asciiTheme="minorHAnsi" w:hAnsiTheme="minorHAnsi" w:cstheme="minorHAnsi"/>
          <w:b/>
        </w:rPr>
        <w:t>ELEMENTI DI VALUTAZIONE DELL’OFFERTA TECNICA</w:t>
      </w:r>
    </w:p>
    <w:p w:rsidR="00894BA1" w:rsidRPr="00894BA1" w:rsidRDefault="00894BA1" w:rsidP="00894BA1">
      <w:pPr>
        <w:autoSpaceDE w:val="0"/>
        <w:autoSpaceDN w:val="0"/>
        <w:adjustRightInd w:val="0"/>
        <w:spacing w:before="3" w:line="150" w:lineRule="exact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894BA1" w:rsidP="00894BA1">
      <w:pPr>
        <w:autoSpaceDE w:val="0"/>
        <w:autoSpaceDN w:val="0"/>
        <w:adjustRightInd w:val="0"/>
        <w:spacing w:line="276" w:lineRule="auto"/>
        <w:ind w:left="214" w:right="166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Il punteggio dell’offerta tecnica è attribuito sulla base dei criteri di valutazione elencati nella sottostante tabella con la relativa ripartizione dei punteggi.</w:t>
      </w:r>
    </w:p>
    <w:p w:rsidR="00894BA1" w:rsidRPr="00894BA1" w:rsidRDefault="00894BA1" w:rsidP="00894BA1">
      <w:pPr>
        <w:autoSpaceDE w:val="0"/>
        <w:autoSpaceDN w:val="0"/>
        <w:adjustRightInd w:val="0"/>
        <w:spacing w:line="276" w:lineRule="auto"/>
        <w:ind w:left="214" w:right="166"/>
        <w:jc w:val="both"/>
        <w:rPr>
          <w:rFonts w:eastAsia="Times New Roman" w:cs="Times New Roman"/>
          <w:kern w:val="1"/>
        </w:rPr>
      </w:pPr>
    </w:p>
    <w:p w:rsidR="00894BA1" w:rsidRPr="00894BA1" w:rsidRDefault="00894BA1" w:rsidP="00894BA1">
      <w:pPr>
        <w:autoSpaceDE w:val="0"/>
        <w:autoSpaceDN w:val="0"/>
        <w:adjustRightInd w:val="0"/>
        <w:spacing w:line="276" w:lineRule="auto"/>
        <w:ind w:left="214" w:right="166"/>
        <w:jc w:val="both"/>
        <w:rPr>
          <w:rFonts w:eastAsia="Times New Roman" w:cs="Times New Roman"/>
          <w:kern w:val="1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4782"/>
        <w:gridCol w:w="2473"/>
      </w:tblGrid>
      <w:tr w:rsidR="00894BA1" w:rsidRPr="00894BA1" w:rsidTr="00FD5F5E">
        <w:trPr>
          <w:trHeight w:hRule="exact" w:val="67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kern w:val="1"/>
              </w:rPr>
              <w:t>ELEMENTI E SUB-ELEMENTI</w:t>
            </w: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smallCaps/>
                <w:kern w:val="1"/>
              </w:rPr>
              <w:t>descrizione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smallCaps/>
                <w:kern w:val="1"/>
              </w:rPr>
              <w:t>peso</w:t>
            </w:r>
          </w:p>
        </w:tc>
      </w:tr>
      <w:tr w:rsidR="00894BA1" w:rsidRPr="00894BA1" w:rsidTr="00FD5F5E">
        <w:trPr>
          <w:trHeight w:hRule="exact" w:val="573"/>
        </w:trPr>
        <w:tc>
          <w:tcPr>
            <w:tcW w:w="2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kern w:val="1"/>
              </w:rPr>
              <w:t>1</w:t>
            </w:r>
          </w:p>
        </w:tc>
        <w:tc>
          <w:tcPr>
            <w:tcW w:w="47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kern w:val="1"/>
              </w:rPr>
              <w:t xml:space="preserve">Validità del progetto </w:t>
            </w:r>
          </w:p>
        </w:tc>
        <w:tc>
          <w:tcPr>
            <w:tcW w:w="24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94BA1" w:rsidRPr="00894BA1" w:rsidRDefault="0061360A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>
              <w:rPr>
                <w:rFonts w:ascii="Calibri" w:eastAsia="Times New Roman" w:hAnsi="Calibri" w:cs="Times New Roman"/>
                <w:b/>
                <w:kern w:val="1"/>
              </w:rPr>
              <w:t>Max 53</w:t>
            </w:r>
          </w:p>
        </w:tc>
      </w:tr>
      <w:tr w:rsidR="00894BA1" w:rsidRPr="00894BA1" w:rsidTr="00FD5F5E">
        <w:trPr>
          <w:trHeight w:hRule="exact" w:val="397"/>
        </w:trPr>
        <w:tc>
          <w:tcPr>
            <w:tcW w:w="2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1.a</w:t>
            </w:r>
          </w:p>
        </w:tc>
        <w:tc>
          <w:tcPr>
            <w:tcW w:w="47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Programma delle attività proposte</w:t>
            </w:r>
          </w:p>
        </w:tc>
        <w:tc>
          <w:tcPr>
            <w:tcW w:w="24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Max 25</w:t>
            </w:r>
          </w:p>
        </w:tc>
      </w:tr>
      <w:tr w:rsidR="00894BA1" w:rsidRPr="00894BA1" w:rsidTr="00FD5F5E">
        <w:trPr>
          <w:trHeight w:hRule="exact" w:val="397"/>
        </w:trPr>
        <w:tc>
          <w:tcPr>
            <w:tcW w:w="2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1.b</w:t>
            </w:r>
          </w:p>
        </w:tc>
        <w:tc>
          <w:tcPr>
            <w:tcW w:w="47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Organizzazione uscite programmate</w:t>
            </w:r>
          </w:p>
        </w:tc>
        <w:tc>
          <w:tcPr>
            <w:tcW w:w="24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94BA1" w:rsidRPr="00894BA1" w:rsidRDefault="0061360A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>
              <w:rPr>
                <w:rFonts w:ascii="Calibri" w:eastAsia="Times New Roman" w:hAnsi="Calibri" w:cs="Times New Roman"/>
                <w:kern w:val="1"/>
              </w:rPr>
              <w:t>Max 12</w:t>
            </w:r>
          </w:p>
        </w:tc>
      </w:tr>
      <w:tr w:rsidR="00894BA1" w:rsidRPr="00894BA1" w:rsidTr="00FD5F5E">
        <w:trPr>
          <w:trHeight w:hRule="exact" w:val="397"/>
        </w:trPr>
        <w:tc>
          <w:tcPr>
            <w:tcW w:w="2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1.c.</w:t>
            </w:r>
          </w:p>
        </w:tc>
        <w:tc>
          <w:tcPr>
            <w:tcW w:w="47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 xml:space="preserve">Modalità di coordinamento del personale </w:t>
            </w:r>
          </w:p>
        </w:tc>
        <w:tc>
          <w:tcPr>
            <w:tcW w:w="24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94BA1" w:rsidRPr="00894BA1" w:rsidRDefault="0061360A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>
              <w:rPr>
                <w:rFonts w:ascii="Calibri" w:eastAsia="Times New Roman" w:hAnsi="Calibri" w:cs="Times New Roman"/>
                <w:kern w:val="1"/>
              </w:rPr>
              <w:t>Max 6</w:t>
            </w:r>
          </w:p>
        </w:tc>
      </w:tr>
      <w:tr w:rsidR="00894BA1" w:rsidRPr="00894BA1" w:rsidTr="00FD5F5E">
        <w:trPr>
          <w:trHeight w:hRule="exact" w:val="397"/>
        </w:trPr>
        <w:tc>
          <w:tcPr>
            <w:tcW w:w="2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1.d.</w:t>
            </w:r>
          </w:p>
        </w:tc>
        <w:tc>
          <w:tcPr>
            <w:tcW w:w="47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Gestione della sicurezza dei bambini</w:t>
            </w:r>
          </w:p>
        </w:tc>
        <w:tc>
          <w:tcPr>
            <w:tcW w:w="24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Max 10</w:t>
            </w:r>
          </w:p>
        </w:tc>
      </w:tr>
      <w:tr w:rsidR="00894BA1" w:rsidRPr="00894BA1" w:rsidTr="00FD5F5E">
        <w:trPr>
          <w:trHeight w:hRule="exact" w:val="397"/>
        </w:trPr>
        <w:tc>
          <w:tcPr>
            <w:tcW w:w="2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kern w:val="1"/>
              </w:rPr>
              <w:t>2</w:t>
            </w:r>
          </w:p>
        </w:tc>
        <w:tc>
          <w:tcPr>
            <w:tcW w:w="47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kern w:val="1"/>
              </w:rPr>
              <w:t>Risorse umane e strumentali</w:t>
            </w:r>
          </w:p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kern w:val="1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61360A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>
              <w:rPr>
                <w:rFonts w:ascii="Calibri" w:eastAsia="Times New Roman" w:hAnsi="Calibri" w:cs="Times New Roman"/>
                <w:b/>
                <w:kern w:val="1"/>
              </w:rPr>
              <w:t>Max  12</w:t>
            </w:r>
          </w:p>
        </w:tc>
      </w:tr>
      <w:tr w:rsidR="00894BA1" w:rsidRPr="00894BA1" w:rsidTr="00FD5F5E">
        <w:trPr>
          <w:trHeight w:hRule="exact" w:val="666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lastRenderedPageBreak/>
              <w:t>2.a</w:t>
            </w: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Rapporto numerico previsto bambini/operatori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Max 6</w:t>
            </w:r>
          </w:p>
        </w:tc>
      </w:tr>
      <w:tr w:rsidR="00894BA1" w:rsidRPr="00894BA1" w:rsidTr="00FD5F5E">
        <w:trPr>
          <w:trHeight w:hRule="exact" w:val="559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D31838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>
              <w:rPr>
                <w:rFonts w:ascii="Calibri" w:eastAsia="Times New Roman" w:hAnsi="Calibri" w:cs="Times New Roman"/>
                <w:kern w:val="1"/>
              </w:rPr>
              <w:t>2.b</w:t>
            </w: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kern w:val="1"/>
              </w:rPr>
              <w:t>Materiali e giochi messi a disposizioni per l’attività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61360A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>
              <w:rPr>
                <w:rFonts w:ascii="Calibri" w:eastAsia="Times New Roman" w:hAnsi="Calibri" w:cs="Times New Roman"/>
                <w:kern w:val="1"/>
              </w:rPr>
              <w:t>Max 6</w:t>
            </w:r>
          </w:p>
        </w:tc>
      </w:tr>
      <w:tr w:rsidR="00894BA1" w:rsidRPr="00894BA1" w:rsidTr="00FD5F5E">
        <w:trPr>
          <w:trHeight w:hRule="exact" w:val="936"/>
        </w:trPr>
        <w:tc>
          <w:tcPr>
            <w:tcW w:w="2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kern w:val="1"/>
              </w:rPr>
              <w:t>3</w:t>
            </w:r>
          </w:p>
        </w:tc>
        <w:tc>
          <w:tcPr>
            <w:tcW w:w="47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spacing w:before="120" w:after="120"/>
              <w:ind w:left="-40" w:right="5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kern w:val="1"/>
              </w:rPr>
              <w:t>Piano di formazione e aggiornamento del personale</w:t>
            </w:r>
          </w:p>
        </w:tc>
        <w:tc>
          <w:tcPr>
            <w:tcW w:w="24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b/>
                <w:kern w:val="1"/>
              </w:rPr>
              <w:t>Max 5</w:t>
            </w:r>
          </w:p>
        </w:tc>
      </w:tr>
    </w:tbl>
    <w:p w:rsidR="00894BA1" w:rsidRPr="00894BA1" w:rsidRDefault="00894BA1" w:rsidP="00894BA1">
      <w:pPr>
        <w:autoSpaceDE w:val="0"/>
        <w:autoSpaceDN w:val="0"/>
        <w:adjustRightInd w:val="0"/>
        <w:spacing w:line="276" w:lineRule="auto"/>
        <w:ind w:left="214" w:right="166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894BA1" w:rsidP="00894BA1">
      <w:pPr>
        <w:autoSpaceDE w:val="0"/>
        <w:autoSpaceDN w:val="0"/>
        <w:adjustRightInd w:val="0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Al fine dell’assegnazione del sub-punteggio stabilito per ciascun sub-elemento di valutazione di cui sopra, verranno presi in considerazione i seguenti criteri:</w:t>
      </w:r>
    </w:p>
    <w:p w:rsidR="00894BA1" w:rsidRPr="00894BA1" w:rsidRDefault="00894BA1" w:rsidP="00894BA1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 xml:space="preserve">1)  validità del progetto: </w:t>
      </w:r>
    </w:p>
    <w:p w:rsidR="00894BA1" w:rsidRPr="00894BA1" w:rsidRDefault="00894BA1" w:rsidP="00894BA1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 xml:space="preserve">1.a. Programma delle attività proposte: si terrà conto della qualità e dell'adeguatezza della proposta presentata </w:t>
      </w:r>
    </w:p>
    <w:p w:rsidR="00894BA1" w:rsidRPr="00894BA1" w:rsidRDefault="00894BA1" w:rsidP="00894BA1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1.b. Organizzazione delle uscite programmate: si valuteranno le modalità di trasferimento, la frequenza e la qualità dei siti proposti per le uscite.</w:t>
      </w:r>
    </w:p>
    <w:p w:rsidR="00894BA1" w:rsidRPr="00894BA1" w:rsidRDefault="00894BA1" w:rsidP="00894BA1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1.c. Modalità di coordinamento del personale: si terrà conto della modalità di gestione e del controllo delle diverse fasi della giornata nonché delle modalità di reportistica all’Azienda.</w:t>
      </w:r>
    </w:p>
    <w:p w:rsidR="00894BA1" w:rsidRPr="00894BA1" w:rsidRDefault="00894BA1" w:rsidP="00894BA1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1.d. Gestione della sicurezza dei bambini: si valuterà l’organizzazione del servizio e le modalità attuative puntuali per garantire la sicurezza dei bambini</w:t>
      </w:r>
      <w:r>
        <w:rPr>
          <w:rFonts w:ascii="Calibri" w:eastAsia="Times New Roman" w:hAnsi="Calibri" w:cs="Times New Roman"/>
          <w:w w:val="89"/>
          <w:kern w:val="1"/>
          <w:sz w:val="26"/>
        </w:rPr>
        <w:t>.</w:t>
      </w:r>
    </w:p>
    <w:p w:rsidR="00894BA1" w:rsidRPr="00894BA1" w:rsidRDefault="00894BA1" w:rsidP="00894BA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894BA1" w:rsidP="00894BA1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2) Risorse umane e strumentali</w:t>
      </w:r>
    </w:p>
    <w:p w:rsidR="00894BA1" w:rsidRPr="00894BA1" w:rsidRDefault="00894BA1" w:rsidP="00894BA1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 xml:space="preserve">2.a. Rapporto numerico previsto bambini/operatori: punti 3 per rapporto </w:t>
      </w:r>
      <w:r w:rsidR="00DA3522">
        <w:rPr>
          <w:rFonts w:ascii="Calibri" w:eastAsia="Times New Roman" w:hAnsi="Calibri" w:cs="Times New Roman"/>
          <w:w w:val="89"/>
          <w:kern w:val="1"/>
          <w:sz w:val="26"/>
        </w:rPr>
        <w:t>numerico bambini/operatori 1/9;</w:t>
      </w:r>
      <w:r w:rsidRPr="00894BA1">
        <w:rPr>
          <w:rFonts w:ascii="Calibri" w:eastAsia="Times New Roman" w:hAnsi="Calibri" w:cs="Times New Roman"/>
          <w:w w:val="89"/>
          <w:kern w:val="1"/>
          <w:sz w:val="26"/>
        </w:rPr>
        <w:t xml:space="preserve"> punti 6 per il rapporto numerico bambini/operatori 1/8; </w:t>
      </w:r>
    </w:p>
    <w:p w:rsidR="00894BA1" w:rsidRDefault="0061360A" w:rsidP="00894BA1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  <w:r>
        <w:rPr>
          <w:rFonts w:ascii="Calibri" w:eastAsia="Times New Roman" w:hAnsi="Calibri" w:cs="Times New Roman"/>
          <w:w w:val="89"/>
          <w:kern w:val="1"/>
          <w:sz w:val="26"/>
        </w:rPr>
        <w:t>2.b</w:t>
      </w:r>
      <w:r w:rsidR="00894BA1" w:rsidRPr="00894BA1">
        <w:rPr>
          <w:rFonts w:ascii="Calibri" w:eastAsia="Times New Roman" w:hAnsi="Calibri" w:cs="Times New Roman"/>
          <w:w w:val="89"/>
          <w:kern w:val="1"/>
          <w:sz w:val="26"/>
        </w:rPr>
        <w:t>. Materiali e giochi messi a disposizione per l’attività: si terrà conto della varietà e del numero dei giochi messi a disposizione;</w:t>
      </w:r>
    </w:p>
    <w:p w:rsidR="00894BA1" w:rsidRPr="00894BA1" w:rsidRDefault="00894BA1" w:rsidP="00894BA1">
      <w:pPr>
        <w:autoSpaceDE w:val="0"/>
        <w:autoSpaceDN w:val="0"/>
        <w:adjustRightInd w:val="0"/>
        <w:spacing w:line="288" w:lineRule="auto"/>
        <w:ind w:left="426"/>
        <w:jc w:val="both"/>
        <w:rPr>
          <w:rFonts w:eastAsia="Times New Roman" w:cs="Times New Roman"/>
          <w:kern w:val="1"/>
          <w:lang w:bidi="ar-SA"/>
        </w:rPr>
      </w:pPr>
    </w:p>
    <w:p w:rsidR="00894BA1" w:rsidRPr="00894BA1" w:rsidRDefault="00894BA1" w:rsidP="00894BA1">
      <w:pPr>
        <w:autoSpaceDE w:val="0"/>
        <w:autoSpaceDN w:val="0"/>
        <w:adjustRightInd w:val="0"/>
        <w:spacing w:before="100" w:after="140" w:line="288" w:lineRule="auto"/>
        <w:ind w:left="426" w:hanging="30"/>
        <w:jc w:val="both"/>
        <w:rPr>
          <w:rFonts w:eastAsia="Times New Roman" w:cs="Times New Roman"/>
          <w:kern w:val="1"/>
          <w:lang w:bidi="ar-SA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3) Piano di formazione/aggiornamento del personale utilizzato: si terrà conto del numero di corsi programmati e della relativa durata nonché dell'attinenza degli stessi con l'oggetto della presente concessione;</w:t>
      </w:r>
    </w:p>
    <w:p w:rsidR="00894BA1" w:rsidRPr="00894BA1" w:rsidRDefault="00894BA1" w:rsidP="00894BA1">
      <w:pPr>
        <w:autoSpaceDE w:val="0"/>
        <w:autoSpaceDN w:val="0"/>
        <w:adjustRightInd w:val="0"/>
        <w:spacing w:before="39"/>
        <w:ind w:left="234" w:right="-20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DA3522" w:rsidP="00894BA1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54"/>
        <w:jc w:val="both"/>
        <w:rPr>
          <w:rFonts w:eastAsia="Times New Roman"/>
          <w:b/>
          <w:kern w:val="1"/>
        </w:rPr>
      </w:pPr>
      <w:r>
        <w:rPr>
          <w:rFonts w:ascii="Calibri" w:eastAsia="Times New Roman" w:hAnsi="Calibri"/>
          <w:b/>
          <w:w w:val="89"/>
          <w:kern w:val="1"/>
          <w:sz w:val="26"/>
        </w:rPr>
        <w:t xml:space="preserve">METODO DI </w:t>
      </w:r>
      <w:r w:rsidR="00354BBE">
        <w:rPr>
          <w:rFonts w:ascii="Calibri" w:eastAsia="Times New Roman" w:hAnsi="Calibri"/>
          <w:b/>
          <w:w w:val="89"/>
          <w:kern w:val="1"/>
          <w:sz w:val="26"/>
        </w:rPr>
        <w:t xml:space="preserve">ATTRIBUZIONE </w:t>
      </w:r>
      <w:r w:rsidR="00BC26B8">
        <w:rPr>
          <w:rFonts w:ascii="Calibri" w:eastAsia="Times New Roman" w:hAnsi="Calibri"/>
          <w:b/>
          <w:w w:val="89"/>
          <w:kern w:val="1"/>
          <w:sz w:val="26"/>
        </w:rPr>
        <w:t>DEL</w:t>
      </w:r>
      <w:r w:rsidR="00894BA1" w:rsidRPr="00894BA1">
        <w:rPr>
          <w:rFonts w:ascii="Calibri" w:eastAsia="Times New Roman" w:hAnsi="Calibri"/>
          <w:b/>
          <w:w w:val="89"/>
          <w:kern w:val="1"/>
          <w:sz w:val="26"/>
        </w:rPr>
        <w:t xml:space="preserve"> C</w:t>
      </w:r>
      <w:r w:rsidR="00BC3FC5">
        <w:rPr>
          <w:rFonts w:ascii="Calibri" w:eastAsia="Times New Roman" w:hAnsi="Calibri"/>
          <w:b/>
          <w:w w:val="89"/>
          <w:kern w:val="1"/>
          <w:sz w:val="26"/>
        </w:rPr>
        <w:t xml:space="preserve">OEFFICIENTE </w:t>
      </w:r>
      <w:r w:rsidR="00894BA1" w:rsidRPr="00894BA1">
        <w:rPr>
          <w:rFonts w:ascii="Calibri" w:eastAsia="Times New Roman" w:hAnsi="Calibri"/>
          <w:b/>
          <w:w w:val="89"/>
          <w:kern w:val="1"/>
          <w:sz w:val="26"/>
        </w:rPr>
        <w:t>PER  IL  CALCOLO  DEL  PUNTEGGIO DELL’OFFERTA TECNICA</w:t>
      </w:r>
    </w:p>
    <w:p w:rsidR="00894BA1" w:rsidRPr="00894BA1" w:rsidRDefault="00894BA1" w:rsidP="00894BA1">
      <w:pPr>
        <w:autoSpaceDE w:val="0"/>
        <w:autoSpaceDN w:val="0"/>
        <w:adjustRightInd w:val="0"/>
        <w:spacing w:before="39"/>
        <w:ind w:left="234" w:right="-20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894BA1" w:rsidP="00894BA1">
      <w:pPr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L’offerta tecnica dovrà essere redatta preferibilmente rispettando l’ordine di trattazione degli elementi e sub-elementi come sopra elencati. Si invita a compilare un indice con indicazione dei titoli degli argomenti stessi. Per ogni sub-criterio verrà attribuito il punteggio come segue:</w:t>
      </w:r>
    </w:p>
    <w:p w:rsidR="00894BA1" w:rsidRPr="0070271F" w:rsidRDefault="00894BA1" w:rsidP="00894BA1">
      <w:pPr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trike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1 – ciascun Commissario attribuisce discrezionalmente al sub-elemento offerto da ciascun partecipante un coefficiente variabile tra 0-1 (zero-uno) dove il coefficiente attribuito è espressione dei seguenti giudizi ad esclusione dei sub criteri 2</w:t>
      </w:r>
      <w:r w:rsidRPr="0061360A">
        <w:rPr>
          <w:rFonts w:ascii="Calibri" w:eastAsia="Times New Roman" w:hAnsi="Calibri" w:cs="Times New Roman"/>
          <w:w w:val="89"/>
          <w:kern w:val="1"/>
          <w:sz w:val="26"/>
        </w:rPr>
        <w:t>.a</w:t>
      </w:r>
      <w:r w:rsidR="0061360A" w:rsidRPr="0061360A">
        <w:rPr>
          <w:rFonts w:ascii="Calibri" w:eastAsia="Times New Roman" w:hAnsi="Calibri" w:cs="Times New Roman"/>
          <w:w w:val="89"/>
          <w:kern w:val="1"/>
          <w:sz w:val="26"/>
        </w:rPr>
        <w:t>:</w:t>
      </w:r>
    </w:p>
    <w:p w:rsidR="00894BA1" w:rsidRPr="00894BA1" w:rsidRDefault="00894BA1" w:rsidP="00894BA1">
      <w:pPr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w w:val="89"/>
          <w:kern w:val="1"/>
          <w:sz w:val="2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32"/>
      </w:tblGrid>
      <w:tr w:rsidR="00894BA1" w:rsidRPr="00894BA1" w:rsidTr="00FD5F5E">
        <w:tc>
          <w:tcPr>
            <w:tcW w:w="4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GIUDIZIO</w:t>
            </w:r>
          </w:p>
        </w:tc>
        <w:tc>
          <w:tcPr>
            <w:tcW w:w="4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COEFFICIENTE</w:t>
            </w:r>
          </w:p>
        </w:tc>
      </w:tr>
      <w:tr w:rsidR="00894BA1" w:rsidRPr="00894BA1" w:rsidTr="00FD5F5E"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ECCELLENTE</w:t>
            </w:r>
          </w:p>
        </w:tc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0,91 - 1</w:t>
            </w:r>
          </w:p>
        </w:tc>
      </w:tr>
      <w:tr w:rsidR="00894BA1" w:rsidRPr="00894BA1" w:rsidTr="00FD5F5E"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OTTIMO</w:t>
            </w:r>
          </w:p>
        </w:tc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0,81 - 0,90</w:t>
            </w:r>
          </w:p>
        </w:tc>
      </w:tr>
      <w:tr w:rsidR="00894BA1" w:rsidRPr="00894BA1" w:rsidTr="00FD5F5E"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lastRenderedPageBreak/>
              <w:t>BUONO</w:t>
            </w:r>
          </w:p>
        </w:tc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0,71 - 0,80</w:t>
            </w:r>
          </w:p>
        </w:tc>
      </w:tr>
      <w:tr w:rsidR="00894BA1" w:rsidRPr="00894BA1" w:rsidTr="00FD5F5E"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DISCRETO</w:t>
            </w:r>
          </w:p>
        </w:tc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0,61 - 0,70</w:t>
            </w:r>
          </w:p>
        </w:tc>
      </w:tr>
      <w:tr w:rsidR="00894BA1" w:rsidRPr="00894BA1" w:rsidTr="00FD5F5E"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SUFFICIENTE</w:t>
            </w:r>
          </w:p>
        </w:tc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0,51 - 0,60</w:t>
            </w:r>
          </w:p>
        </w:tc>
      </w:tr>
      <w:tr w:rsidR="00894BA1" w:rsidRPr="00894BA1" w:rsidTr="00FD5F5E"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MEDIOCRE</w:t>
            </w:r>
          </w:p>
        </w:tc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0,41 - 0,50</w:t>
            </w:r>
          </w:p>
        </w:tc>
      </w:tr>
      <w:tr w:rsidR="00894BA1" w:rsidRPr="00894BA1" w:rsidTr="00FD5F5E"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INSUFFICIENTE</w:t>
            </w:r>
          </w:p>
        </w:tc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0,31 - 0,40</w:t>
            </w:r>
          </w:p>
        </w:tc>
      </w:tr>
      <w:tr w:rsidR="00894BA1" w:rsidRPr="00894BA1" w:rsidTr="00FD5F5E"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SCARSO</w:t>
            </w:r>
          </w:p>
        </w:tc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0,21 - 0,30</w:t>
            </w:r>
          </w:p>
        </w:tc>
      </w:tr>
      <w:tr w:rsidR="00894BA1" w:rsidRPr="00894BA1" w:rsidTr="00FD5F5E"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INADEGUATO</w:t>
            </w:r>
          </w:p>
        </w:tc>
        <w:tc>
          <w:tcPr>
            <w:tcW w:w="49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BA1" w:rsidRPr="00894BA1" w:rsidRDefault="00894BA1" w:rsidP="00894BA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1"/>
              </w:rPr>
            </w:pPr>
            <w:r w:rsidRPr="00894BA1">
              <w:rPr>
                <w:rFonts w:ascii="Calibri" w:eastAsia="Times New Roman" w:hAnsi="Calibri" w:cs="Times New Roman"/>
                <w:w w:val="89"/>
                <w:kern w:val="1"/>
                <w:sz w:val="26"/>
              </w:rPr>
              <w:t>0,00 - 0,20</w:t>
            </w:r>
          </w:p>
        </w:tc>
      </w:tr>
    </w:tbl>
    <w:p w:rsidR="00894BA1" w:rsidRPr="00894BA1" w:rsidRDefault="00894BA1" w:rsidP="00894BA1">
      <w:pPr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61360A" w:rsidRDefault="00894BA1" w:rsidP="00894BA1">
      <w:pPr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w w:val="89"/>
          <w:kern w:val="1"/>
          <w:sz w:val="26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2 – Viene calcolata la media dei coefficienti attribuiti dai vari Commissari a ciascuna off</w:t>
      </w:r>
      <w:r w:rsidR="0070271F">
        <w:rPr>
          <w:rFonts w:ascii="Calibri" w:eastAsia="Times New Roman" w:hAnsi="Calibri" w:cs="Times New Roman"/>
          <w:w w:val="89"/>
          <w:kern w:val="1"/>
          <w:sz w:val="26"/>
        </w:rPr>
        <w:t xml:space="preserve">erta per il singolo </w:t>
      </w:r>
      <w:r w:rsidR="0070271F" w:rsidRPr="0061360A">
        <w:rPr>
          <w:rFonts w:ascii="Calibri" w:eastAsia="Times New Roman" w:hAnsi="Calibri" w:cs="Times New Roman"/>
          <w:w w:val="89"/>
          <w:kern w:val="1"/>
          <w:sz w:val="26"/>
        </w:rPr>
        <w:t>sub-elemento</w:t>
      </w:r>
      <w:r w:rsidRPr="0061360A">
        <w:rPr>
          <w:rFonts w:ascii="Calibri" w:eastAsia="Times New Roman" w:hAnsi="Calibri" w:cs="Times New Roman"/>
          <w:w w:val="89"/>
          <w:kern w:val="1"/>
          <w:sz w:val="26"/>
        </w:rPr>
        <w:t xml:space="preserve"> (coefficiente provvisorio), quindi, in caso di pluralità di offerte, qualora nessuna offerta abbia ottenuto il coefficiente 1, tale coefficiente viene attribuito alla migliore offerta e le altre vengono conseguentemente riparametrate (coefficiente definitivo); </w:t>
      </w:r>
    </w:p>
    <w:p w:rsidR="00894BA1" w:rsidRPr="0070271F" w:rsidRDefault="00894BA1" w:rsidP="00894BA1">
      <w:pPr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kern w:val="1"/>
        </w:rPr>
      </w:pPr>
      <w:r w:rsidRPr="0061360A">
        <w:rPr>
          <w:rFonts w:ascii="Calibri" w:eastAsia="Times New Roman" w:hAnsi="Calibri" w:cs="Times New Roman"/>
          <w:w w:val="89"/>
          <w:kern w:val="1"/>
          <w:sz w:val="26"/>
        </w:rPr>
        <w:t>3 – Il coefficiente definitivo così ottenuto viene moltiplicato per il punteggio massimo attr</w:t>
      </w:r>
      <w:r w:rsidR="0070271F" w:rsidRPr="0061360A">
        <w:rPr>
          <w:rFonts w:ascii="Calibri" w:eastAsia="Times New Roman" w:hAnsi="Calibri" w:cs="Times New Roman"/>
          <w:w w:val="89"/>
          <w:kern w:val="1"/>
          <w:sz w:val="26"/>
        </w:rPr>
        <w:t>ibuibile al singolo sub-elemento</w:t>
      </w:r>
      <w:r w:rsidRPr="0070271F">
        <w:rPr>
          <w:rFonts w:ascii="Calibri" w:eastAsia="Times New Roman" w:hAnsi="Calibri" w:cs="Times New Roman"/>
          <w:w w:val="89"/>
          <w:kern w:val="1"/>
          <w:sz w:val="26"/>
        </w:rPr>
        <w:t>.</w:t>
      </w:r>
    </w:p>
    <w:p w:rsidR="00894BA1" w:rsidRDefault="00894BA1" w:rsidP="00894BA1">
      <w:pPr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w w:val="89"/>
          <w:kern w:val="1"/>
          <w:sz w:val="26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 xml:space="preserve">L’attribuzione del punteggio complessivo per l‘offerta tecnica avverrà sommando i punteggi ottenuti per ogni singolo sub-elemento e elemento. </w:t>
      </w:r>
    </w:p>
    <w:p w:rsidR="00922BD6" w:rsidRPr="00894BA1" w:rsidRDefault="00922BD6" w:rsidP="00894BA1">
      <w:pPr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kern w:val="1"/>
        </w:rPr>
      </w:pPr>
      <w:r w:rsidRPr="00922BD6">
        <w:rPr>
          <w:rFonts w:eastAsia="Times New Roman" w:cs="Times New Roman"/>
          <w:b/>
          <w:kern w:val="1"/>
        </w:rPr>
        <w:t>Non è prevista una seconda riparametrazione qualora nessun concorrente ottenga il punteggio massimo previsto per l’offerta tecnica (70 punti)</w:t>
      </w:r>
      <w:r w:rsidR="00DA5B8A">
        <w:rPr>
          <w:rFonts w:eastAsia="Times New Roman" w:cs="Times New Roman"/>
          <w:b/>
          <w:kern w:val="1"/>
        </w:rPr>
        <w:t>.</w:t>
      </w:r>
    </w:p>
    <w:p w:rsidR="00894BA1" w:rsidRPr="00894BA1" w:rsidRDefault="00894BA1" w:rsidP="00894BA1">
      <w:pPr>
        <w:widowControl/>
        <w:autoSpaceDE w:val="0"/>
        <w:autoSpaceDN w:val="0"/>
        <w:adjustRightInd w:val="0"/>
        <w:spacing w:before="100" w:line="276" w:lineRule="auto"/>
        <w:ind w:left="-15"/>
        <w:jc w:val="both"/>
        <w:textAlignment w:val="baseline"/>
        <w:rPr>
          <w:rFonts w:ascii="Times New Roman" w:eastAsia="Times New Roman" w:cs="Times New Roman"/>
          <w:kern w:val="1"/>
          <w:lang w:eastAsia="zh-CN" w:bidi="ar-SA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>Ogni condizione dichiarata dalla ditta e a cui sia stato attribuito un punteggio, costituisce obbligazione contrattuale per la ditta stessa nel caso risulti aggiudicataria della concessione.</w:t>
      </w:r>
    </w:p>
    <w:p w:rsidR="00894BA1" w:rsidRPr="00894BA1" w:rsidRDefault="00894BA1" w:rsidP="00894BA1">
      <w:pPr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1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</w:rPr>
        <w:t xml:space="preserve">Le offerte tecniche che a seguito della valutazione degli elementi presentati non raggiungono il punteggio minimo complessivo di </w:t>
      </w:r>
      <w:r w:rsidRPr="00DA3522">
        <w:rPr>
          <w:rFonts w:ascii="Calibri" w:eastAsia="Times New Roman" w:hAnsi="Calibri" w:cs="Times New Roman"/>
          <w:w w:val="89"/>
          <w:kern w:val="1"/>
          <w:sz w:val="26"/>
        </w:rPr>
        <w:t>42/70</w:t>
      </w:r>
      <w:r w:rsidRPr="00894BA1">
        <w:rPr>
          <w:rFonts w:ascii="Calibri" w:eastAsia="Times New Roman" w:hAnsi="Calibri" w:cs="Times New Roman"/>
          <w:w w:val="89"/>
          <w:kern w:val="1"/>
          <w:sz w:val="26"/>
        </w:rPr>
        <w:t xml:space="preserve"> rispetto al punteggio massimo attribuibile di 70/70, saranno escluse dalla gara in quanto non rispondenti agli standard funzionali, tecnici e qualitativi minimi attesi dal concedente.</w:t>
      </w:r>
    </w:p>
    <w:p w:rsidR="00894BA1" w:rsidRPr="00894BA1" w:rsidRDefault="00894BA1" w:rsidP="00894BA1">
      <w:pPr>
        <w:autoSpaceDE w:val="0"/>
        <w:autoSpaceDN w:val="0"/>
        <w:adjustRightInd w:val="0"/>
        <w:spacing w:line="200" w:lineRule="exact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894BA1" w:rsidP="00894BA1">
      <w:pPr>
        <w:autoSpaceDE w:val="0"/>
        <w:autoSpaceDN w:val="0"/>
        <w:adjustRightInd w:val="0"/>
        <w:spacing w:line="200" w:lineRule="exact"/>
        <w:jc w:val="both"/>
        <w:rPr>
          <w:rFonts w:ascii="Calibri" w:eastAsia="Times New Roman" w:hAnsi="Calibri" w:cs="Times New Roman"/>
          <w:w w:val="89"/>
          <w:kern w:val="1"/>
          <w:sz w:val="26"/>
        </w:rPr>
      </w:pPr>
    </w:p>
    <w:p w:rsidR="00894BA1" w:rsidRPr="00894BA1" w:rsidRDefault="00DA3522" w:rsidP="00894BA1">
      <w:pPr>
        <w:autoSpaceDE w:val="0"/>
        <w:autoSpaceDN w:val="0"/>
        <w:adjustRightInd w:val="0"/>
        <w:spacing w:line="276" w:lineRule="auto"/>
        <w:ind w:right="54"/>
        <w:jc w:val="both"/>
        <w:rPr>
          <w:rFonts w:eastAsia="Times New Roman" w:cs="Times New Roman"/>
          <w:b/>
          <w:kern w:val="1"/>
          <w:sz w:val="26"/>
          <w:szCs w:val="26"/>
        </w:rPr>
      </w:pPr>
      <w:r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  <w:t>4  METODO</w:t>
      </w:r>
      <w:r w:rsidR="00894BA1" w:rsidRPr="00894BA1"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  <w:t xml:space="preserve"> DI  ATTRIBUZIONE  DEL  PUNTEGGIO DELL’OFFERTA ECONOMICA</w:t>
      </w:r>
    </w:p>
    <w:p w:rsidR="00894BA1" w:rsidRPr="00894BA1" w:rsidRDefault="00894BA1" w:rsidP="00894BA1">
      <w:pPr>
        <w:autoSpaceDE w:val="0"/>
        <w:autoSpaceDN w:val="0"/>
        <w:adjustRightInd w:val="0"/>
        <w:spacing w:before="8" w:line="110" w:lineRule="exact"/>
        <w:jc w:val="both"/>
        <w:rPr>
          <w:rFonts w:ascii="Calibri" w:eastAsia="Times New Roman" w:hAnsi="Calibri" w:cs="Times New Roman"/>
          <w:w w:val="89"/>
          <w:kern w:val="1"/>
        </w:rPr>
      </w:pPr>
    </w:p>
    <w:p w:rsidR="00922BD6" w:rsidRPr="00922BD6" w:rsidRDefault="00922BD6" w:rsidP="00922BD6">
      <w:pPr>
        <w:autoSpaceDE w:val="0"/>
        <w:autoSpaceDN w:val="0"/>
        <w:adjustRightInd w:val="0"/>
        <w:spacing w:before="41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922BD6">
        <w:rPr>
          <w:rFonts w:ascii="Calibri" w:eastAsia="Times New Roman" w:hAnsi="Calibri" w:cs="Times New Roman"/>
          <w:w w:val="89"/>
          <w:kern w:val="1"/>
          <w:sz w:val="26"/>
          <w:szCs w:val="26"/>
        </w:rPr>
        <w:t>Quanto all’offerta economica, le ditte dovranno riportare in cifre e in lettere il ribasso offerto</w:t>
      </w:r>
      <w:r w:rsid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t xml:space="preserve"> sulle tariffe </w:t>
      </w:r>
      <w:r>
        <w:rPr>
          <w:rFonts w:ascii="Calibri" w:eastAsia="Times New Roman" w:hAnsi="Calibri" w:cs="Times New Roman"/>
          <w:w w:val="89"/>
          <w:kern w:val="1"/>
          <w:sz w:val="26"/>
          <w:szCs w:val="26"/>
        </w:rPr>
        <w:t xml:space="preserve">a base di gara. </w:t>
      </w:r>
      <w:r w:rsidRPr="00922BD6">
        <w:rPr>
          <w:rFonts w:ascii="Calibri" w:eastAsia="Times New Roman" w:hAnsi="Calibri" w:cs="Times New Roman"/>
          <w:w w:val="89"/>
          <w:kern w:val="1"/>
          <w:sz w:val="26"/>
          <w:szCs w:val="26"/>
        </w:rPr>
        <w:t>Il punteggio massimo attribuibile è determinato secondo la seguente formula:</w:t>
      </w:r>
    </w:p>
    <w:p w:rsidR="00922BD6" w:rsidRPr="00922BD6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</w:pPr>
      <w:r w:rsidRPr="00922BD6"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  <w:t xml:space="preserve">            </w:t>
      </w:r>
      <w:r w:rsidRPr="00DA3522"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  <w:t>Ri</w:t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  <w:t>Vi =----------</w:t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  <w:t xml:space="preserve">          Rmax </w:t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tab/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t xml:space="preserve">Dove: </w:t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t xml:space="preserve">Vi = coefficiente attribuito al concorrente i-esimo </w:t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t xml:space="preserve">Rmax = percentuale di ribasso più elevata </w:t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t>Ri = percentuale di ribasso offerta dal concorrente i-esimo</w:t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t xml:space="preserve">Il coefficiente Vi come sopra determinato verrà moltiplicato per il peso attribuito all’elemento prezzo come segue: </w:t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t>Pi = Vi*30</w:t>
      </w:r>
    </w:p>
    <w:p w:rsidR="00922BD6" w:rsidRPr="00DA3522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t xml:space="preserve">Dove </w:t>
      </w:r>
    </w:p>
    <w:p w:rsidR="00922BD6" w:rsidRPr="00922BD6" w:rsidRDefault="00922BD6" w:rsidP="00922BD6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  <w:r w:rsidRPr="00DA3522">
        <w:rPr>
          <w:rFonts w:ascii="Calibri" w:eastAsia="Times New Roman" w:hAnsi="Calibri" w:cs="Times New Roman"/>
          <w:w w:val="89"/>
          <w:kern w:val="1"/>
          <w:sz w:val="26"/>
          <w:szCs w:val="26"/>
        </w:rPr>
        <w:lastRenderedPageBreak/>
        <w:t>Pi: punteggio assegnato all’offerta economica del concorrente i-esimo.</w:t>
      </w:r>
    </w:p>
    <w:p w:rsidR="00894BA1" w:rsidRPr="00894BA1" w:rsidRDefault="00894BA1" w:rsidP="00894BA1">
      <w:pPr>
        <w:autoSpaceDE w:val="0"/>
        <w:autoSpaceDN w:val="0"/>
        <w:adjustRightInd w:val="0"/>
        <w:spacing w:before="41"/>
        <w:ind w:left="227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</w:p>
    <w:p w:rsidR="00894BA1" w:rsidRPr="00894BA1" w:rsidRDefault="00922BD6" w:rsidP="00894BA1">
      <w:pPr>
        <w:autoSpaceDE w:val="0"/>
        <w:autoSpaceDN w:val="0"/>
        <w:adjustRightInd w:val="0"/>
        <w:spacing w:before="41"/>
        <w:jc w:val="both"/>
        <w:rPr>
          <w:rFonts w:eastAsia="Times New Roman" w:cs="Times New Roman"/>
          <w:b/>
          <w:kern w:val="1"/>
          <w:sz w:val="26"/>
          <w:szCs w:val="26"/>
        </w:rPr>
      </w:pPr>
      <w:r w:rsidRPr="00922BD6"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  <w:t>5.</w:t>
      </w:r>
      <w:r w:rsidR="00894BA1" w:rsidRPr="00894BA1">
        <w:rPr>
          <w:rFonts w:ascii="Calibri" w:eastAsia="Times New Roman" w:hAnsi="Calibri" w:cs="Times New Roman"/>
          <w:b/>
          <w:w w:val="89"/>
          <w:kern w:val="1"/>
          <w:sz w:val="26"/>
          <w:szCs w:val="26"/>
        </w:rPr>
        <w:t xml:space="preserve"> METODO PER IL CALCOLO DEI PUNTEGGI COMPLESSIVI</w:t>
      </w:r>
    </w:p>
    <w:p w:rsidR="00894BA1" w:rsidRPr="00894BA1" w:rsidRDefault="00894BA1" w:rsidP="00894BA1">
      <w:pPr>
        <w:autoSpaceDE w:val="0"/>
        <w:autoSpaceDN w:val="0"/>
        <w:adjustRightInd w:val="0"/>
        <w:spacing w:before="3" w:line="150" w:lineRule="exact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</w:p>
    <w:p w:rsidR="00894BA1" w:rsidRPr="00894BA1" w:rsidRDefault="00894BA1" w:rsidP="00894BA1">
      <w:pPr>
        <w:autoSpaceDE w:val="0"/>
        <w:autoSpaceDN w:val="0"/>
        <w:adjustRightInd w:val="0"/>
        <w:spacing w:line="264" w:lineRule="auto"/>
        <w:ind w:right="45"/>
        <w:jc w:val="both"/>
        <w:rPr>
          <w:rFonts w:eastAsia="Times New Roman" w:cs="Times New Roman"/>
          <w:kern w:val="1"/>
          <w:sz w:val="26"/>
          <w:szCs w:val="26"/>
        </w:rPr>
      </w:pPr>
      <w:r w:rsidRPr="00894BA1">
        <w:rPr>
          <w:rFonts w:ascii="Calibri" w:eastAsia="Times New Roman" w:hAnsi="Calibri" w:cs="Times New Roman"/>
          <w:w w:val="89"/>
          <w:kern w:val="1"/>
          <w:sz w:val="26"/>
          <w:szCs w:val="26"/>
        </w:rPr>
        <w:t xml:space="preserve">Sulla base dei suddetti punteggi, il sistema </w:t>
      </w:r>
      <w:r w:rsidR="0070271F">
        <w:rPr>
          <w:rFonts w:ascii="Calibri" w:eastAsia="Times New Roman" w:hAnsi="Calibri" w:cs="Times New Roman"/>
          <w:w w:val="89"/>
          <w:kern w:val="1"/>
          <w:sz w:val="26"/>
          <w:szCs w:val="26"/>
        </w:rPr>
        <w:t xml:space="preserve">MEPA </w:t>
      </w:r>
      <w:r w:rsidRPr="00894BA1">
        <w:rPr>
          <w:rFonts w:ascii="Calibri" w:eastAsia="Times New Roman" w:hAnsi="Calibri" w:cs="Times New Roman"/>
          <w:w w:val="89"/>
          <w:kern w:val="1"/>
          <w:sz w:val="26"/>
          <w:szCs w:val="26"/>
        </w:rPr>
        <w:t>procederà all’individuazione dell’unico parametro numerico finale per la formulazione della graduatoria, ai sensi dell’art. 95, co. 9 del Codice, sommando i punteggi così attribuiti ai singoli criteri.</w:t>
      </w:r>
    </w:p>
    <w:p w:rsidR="00894BA1" w:rsidRPr="00894BA1" w:rsidRDefault="00894BA1" w:rsidP="00894BA1">
      <w:pPr>
        <w:autoSpaceDE w:val="0"/>
        <w:autoSpaceDN w:val="0"/>
        <w:adjustRightInd w:val="0"/>
        <w:spacing w:line="264" w:lineRule="auto"/>
        <w:ind w:left="114" w:right="45"/>
        <w:jc w:val="both"/>
        <w:rPr>
          <w:rFonts w:ascii="Calibri" w:eastAsia="Times New Roman" w:hAnsi="Calibri" w:cs="Times New Roman"/>
          <w:w w:val="89"/>
          <w:kern w:val="1"/>
          <w:sz w:val="26"/>
          <w:szCs w:val="26"/>
        </w:rPr>
      </w:pPr>
    </w:p>
    <w:p w:rsidR="000C159B" w:rsidRDefault="000C159B" w:rsidP="00DA3522">
      <w:pPr>
        <w:spacing w:before="41"/>
        <w:jc w:val="both"/>
        <w:rPr>
          <w:rFonts w:asciiTheme="minorHAnsi" w:hAnsiTheme="minorHAnsi" w:cstheme="minorHAnsi"/>
        </w:rPr>
      </w:pPr>
    </w:p>
    <w:p w:rsidR="004A73E5" w:rsidRDefault="004A73E5" w:rsidP="004A73E5">
      <w:pPr>
        <w:spacing w:before="1" w:line="280" w:lineRule="exact"/>
        <w:ind w:left="142"/>
        <w:jc w:val="both"/>
        <w:rPr>
          <w:rFonts w:asciiTheme="minorHAnsi" w:hAnsiTheme="minorHAnsi" w:cstheme="minorHAnsi"/>
        </w:rPr>
      </w:pPr>
    </w:p>
    <w:p w:rsidR="004A73E5" w:rsidRDefault="004A73E5" w:rsidP="004A73E5">
      <w:pPr>
        <w:spacing w:before="1" w:line="280" w:lineRule="exact"/>
        <w:ind w:left="142"/>
        <w:jc w:val="both"/>
        <w:rPr>
          <w:rFonts w:asciiTheme="minorHAnsi" w:hAnsiTheme="minorHAnsi" w:cstheme="minorHAnsi"/>
        </w:rPr>
      </w:pPr>
    </w:p>
    <w:p w:rsidR="004A73E5" w:rsidRDefault="004A73E5" w:rsidP="004A73E5">
      <w:pPr>
        <w:spacing w:before="1" w:line="280" w:lineRule="exact"/>
        <w:ind w:left="6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F.to Il Direttore dell’Asp Ambito 9</w:t>
      </w:r>
    </w:p>
    <w:p w:rsidR="004A73E5" w:rsidRPr="009E2A01" w:rsidRDefault="004A73E5" w:rsidP="004A73E5">
      <w:pPr>
        <w:spacing w:before="1" w:line="280" w:lineRule="exact"/>
        <w:ind w:left="6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(Dott. F. Pesaresi)</w:t>
      </w:r>
    </w:p>
    <w:p w:rsidR="00A3285D" w:rsidRDefault="00A3285D">
      <w:pPr>
        <w:ind w:left="114" w:right="458"/>
        <w:jc w:val="both"/>
        <w:rPr>
          <w:rFonts w:asciiTheme="minorHAnsi" w:hAnsiTheme="minorHAnsi" w:cs="Calibri"/>
          <w:spacing w:val="-3"/>
        </w:rPr>
      </w:pPr>
    </w:p>
    <w:p w:rsidR="00A3285D" w:rsidRDefault="00A3285D">
      <w:pPr>
        <w:jc w:val="both"/>
        <w:rPr>
          <w:rFonts w:asciiTheme="minorHAnsi" w:hAnsiTheme="minorHAnsi" w:cstheme="minorHAnsi"/>
        </w:rPr>
      </w:pPr>
    </w:p>
    <w:p w:rsidR="00A3285D" w:rsidRDefault="00A3285D">
      <w:pPr>
        <w:widowControl/>
        <w:suppressAutoHyphens w:val="0"/>
      </w:pPr>
    </w:p>
    <w:p w:rsidR="00A3285D" w:rsidRDefault="00A3285D">
      <w:pPr>
        <w:sectPr w:rsidR="00A3285D">
          <w:footerReference w:type="default" r:id="rId9"/>
          <w:type w:val="continuous"/>
          <w:pgSz w:w="11906" w:h="16838"/>
          <w:pgMar w:top="709" w:right="1020" w:bottom="851" w:left="1020" w:header="0" w:footer="0" w:gutter="0"/>
          <w:cols w:space="720"/>
          <w:formProt w:val="0"/>
          <w:docGrid w:linePitch="326" w:charSpace="-6145"/>
        </w:sectPr>
      </w:pPr>
    </w:p>
    <w:p w:rsidR="00A3285D" w:rsidRDefault="00A3285D"/>
    <w:p w:rsidR="00A3285D" w:rsidRDefault="00A3285D">
      <w:pPr>
        <w:sectPr w:rsidR="00A3285D">
          <w:type w:val="continuous"/>
          <w:pgSz w:w="11906" w:h="16838"/>
          <w:pgMar w:top="709" w:right="1020" w:bottom="851" w:left="1020" w:header="0" w:footer="0" w:gutter="0"/>
          <w:cols w:space="720"/>
          <w:formProt w:val="0"/>
          <w:docGrid w:linePitch="326" w:charSpace="-6145"/>
        </w:sectPr>
      </w:pPr>
    </w:p>
    <w:p w:rsidR="00EF3A14" w:rsidRDefault="00EF3A14"/>
    <w:sectPr w:rsidR="00EF3A14">
      <w:type w:val="continuous"/>
      <w:pgSz w:w="11906" w:h="16838"/>
      <w:pgMar w:top="709" w:right="1020" w:bottom="851" w:left="10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36" w:rsidRDefault="009E0036">
      <w:r>
        <w:separator/>
      </w:r>
    </w:p>
  </w:endnote>
  <w:endnote w:type="continuationSeparator" w:id="0">
    <w:p w:rsidR="009E0036" w:rsidRDefault="009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Frenc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640681"/>
      <w:docPartObj>
        <w:docPartGallery w:val="Page Numbers (Bottom of Page)"/>
        <w:docPartUnique/>
      </w:docPartObj>
    </w:sdtPr>
    <w:sdtEndPr/>
    <w:sdtContent>
      <w:p w:rsidR="000C0F7C" w:rsidRDefault="000C0F7C">
        <w:pPr>
          <w:pStyle w:val="Pidipagina"/>
          <w:jc w:val="center"/>
        </w:pPr>
      </w:p>
      <w:p w:rsidR="000C0F7C" w:rsidRDefault="000C0F7C">
        <w:pPr>
          <w:pStyle w:val="Pidipagina"/>
          <w:jc w:val="center"/>
        </w:pPr>
        <w:r>
          <w:rPr>
            <w:rFonts w:ascii="Calibri" w:hAnsi="Calibri" w:cs="Calibri"/>
            <w:sz w:val="18"/>
            <w:szCs w:val="18"/>
          </w:rPr>
          <w:t xml:space="preserve">Pag. </w:t>
        </w:r>
        <w:r>
          <w:rPr>
            <w:rFonts w:ascii="Calibri" w:hAnsi="Calibri" w:cs="Calibri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C37406">
          <w:rPr>
            <w:noProof/>
          </w:rPr>
          <w:t>2</w:t>
        </w:r>
        <w:r>
          <w:fldChar w:fldCharType="end"/>
        </w:r>
        <w:r>
          <w:rPr>
            <w:rFonts w:ascii="Calibri" w:hAnsi="Calibri" w:cs="Calibri"/>
            <w:sz w:val="18"/>
            <w:szCs w:val="18"/>
          </w:rPr>
          <w:t xml:space="preserve"> di 19</w:t>
        </w:r>
      </w:p>
      <w:p w:rsidR="000C0F7C" w:rsidRDefault="000C0F7C">
        <w:pPr>
          <w:pStyle w:val="Pidipagina"/>
          <w:jc w:val="center"/>
          <w:rPr>
            <w:rFonts w:asciiTheme="minorHAnsi" w:hAnsiTheme="minorHAnsi" w:cstheme="minorHAnsi"/>
          </w:rPr>
        </w:pPr>
      </w:p>
      <w:p w:rsidR="000C0F7C" w:rsidRDefault="00C37406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36" w:rsidRDefault="009E0036">
      <w:r>
        <w:separator/>
      </w:r>
    </w:p>
  </w:footnote>
  <w:footnote w:type="continuationSeparator" w:id="0">
    <w:p w:rsidR="009E0036" w:rsidRDefault="009E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66C"/>
    <w:multiLevelType w:val="hybridMultilevel"/>
    <w:tmpl w:val="A79224B8"/>
    <w:lvl w:ilvl="0" w:tplc="4B3A88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4AFE"/>
    <w:multiLevelType w:val="multilevel"/>
    <w:tmpl w:val="710E898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9C4A93"/>
    <w:multiLevelType w:val="multilevel"/>
    <w:tmpl w:val="6C382D60"/>
    <w:lvl w:ilvl="0">
      <w:start w:val="1"/>
      <w:numFmt w:val="lowerLetter"/>
      <w:lvlText w:val="%1)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894487E"/>
    <w:multiLevelType w:val="hybridMultilevel"/>
    <w:tmpl w:val="0792A51C"/>
    <w:lvl w:ilvl="0" w:tplc="81BC99C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0B252AE3"/>
    <w:multiLevelType w:val="multilevel"/>
    <w:tmpl w:val="DF1AA550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03EC2"/>
    <w:multiLevelType w:val="multilevel"/>
    <w:tmpl w:val="D758CDF8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F971A4"/>
    <w:multiLevelType w:val="multilevel"/>
    <w:tmpl w:val="F4167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3B79"/>
    <w:multiLevelType w:val="hybridMultilevel"/>
    <w:tmpl w:val="9892B68E"/>
    <w:lvl w:ilvl="0" w:tplc="E51AC8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5D4B7A"/>
    <w:multiLevelType w:val="multilevel"/>
    <w:tmpl w:val="9F8A1DA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E1C4D8A"/>
    <w:multiLevelType w:val="hybridMultilevel"/>
    <w:tmpl w:val="A84050C8"/>
    <w:lvl w:ilvl="0" w:tplc="8DCA11A0">
      <w:start w:val="4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E2524D9"/>
    <w:multiLevelType w:val="multilevel"/>
    <w:tmpl w:val="A5146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31EF9"/>
    <w:multiLevelType w:val="multilevel"/>
    <w:tmpl w:val="218E90D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617" w:hanging="360"/>
      </w:pPr>
    </w:lvl>
    <w:lvl w:ilvl="2">
      <w:start w:val="1"/>
      <w:numFmt w:val="lowerRoman"/>
      <w:lvlText w:val="%3."/>
      <w:lvlJc w:val="right"/>
      <w:pPr>
        <w:ind w:left="2337" w:hanging="180"/>
      </w:pPr>
    </w:lvl>
    <w:lvl w:ilvl="3">
      <w:start w:val="1"/>
      <w:numFmt w:val="decimal"/>
      <w:lvlText w:val="%4."/>
      <w:lvlJc w:val="left"/>
      <w:pPr>
        <w:ind w:left="3057" w:hanging="360"/>
      </w:pPr>
    </w:lvl>
    <w:lvl w:ilvl="4">
      <w:start w:val="1"/>
      <w:numFmt w:val="lowerLetter"/>
      <w:lvlText w:val="%5."/>
      <w:lvlJc w:val="left"/>
      <w:pPr>
        <w:ind w:left="3777" w:hanging="360"/>
      </w:pPr>
    </w:lvl>
    <w:lvl w:ilvl="5">
      <w:start w:val="1"/>
      <w:numFmt w:val="lowerRoman"/>
      <w:lvlText w:val="%6."/>
      <w:lvlJc w:val="right"/>
      <w:pPr>
        <w:ind w:left="4497" w:hanging="180"/>
      </w:pPr>
    </w:lvl>
    <w:lvl w:ilvl="6">
      <w:start w:val="1"/>
      <w:numFmt w:val="decimal"/>
      <w:lvlText w:val="%7."/>
      <w:lvlJc w:val="left"/>
      <w:pPr>
        <w:ind w:left="5217" w:hanging="360"/>
      </w:pPr>
    </w:lvl>
    <w:lvl w:ilvl="7">
      <w:start w:val="1"/>
      <w:numFmt w:val="lowerLetter"/>
      <w:lvlText w:val="%8."/>
      <w:lvlJc w:val="left"/>
      <w:pPr>
        <w:ind w:left="5937" w:hanging="360"/>
      </w:pPr>
    </w:lvl>
    <w:lvl w:ilvl="8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1F9A073E"/>
    <w:multiLevelType w:val="multilevel"/>
    <w:tmpl w:val="10D4F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17E5"/>
    <w:multiLevelType w:val="multilevel"/>
    <w:tmpl w:val="BE72B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0C41D0D"/>
    <w:multiLevelType w:val="multilevel"/>
    <w:tmpl w:val="3F6EF45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A59"/>
    <w:multiLevelType w:val="hybridMultilevel"/>
    <w:tmpl w:val="F0047E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030A73"/>
    <w:multiLevelType w:val="multilevel"/>
    <w:tmpl w:val="44364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67603D"/>
    <w:multiLevelType w:val="multilevel"/>
    <w:tmpl w:val="C11E48C2"/>
    <w:lvl w:ilvl="0">
      <w:start w:val="1"/>
      <w:numFmt w:val="lowerLetter"/>
      <w:lvlText w:val="%1)"/>
      <w:lvlJc w:val="left"/>
      <w:pPr>
        <w:ind w:left="834" w:hanging="360"/>
      </w:pPr>
    </w:lvl>
    <w:lvl w:ilvl="1">
      <w:start w:val="1"/>
      <w:numFmt w:val="lowerLetter"/>
      <w:lvlText w:val="%2."/>
      <w:lvlJc w:val="left"/>
      <w:pPr>
        <w:ind w:left="1554" w:hanging="360"/>
      </w:p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47927671"/>
    <w:multiLevelType w:val="multilevel"/>
    <w:tmpl w:val="5B86AD48"/>
    <w:lvl w:ilvl="0">
      <w:start w:val="1"/>
      <w:numFmt w:val="bullet"/>
      <w:lvlText w:val="-"/>
      <w:lvlJc w:val="left"/>
      <w:pPr>
        <w:ind w:left="834" w:hanging="360"/>
      </w:pPr>
      <w:rPr>
        <w:rFonts w:ascii="MS Reference Sans Serif" w:hAnsi="MS Reference Sans Serif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0D5EEF"/>
    <w:multiLevelType w:val="multilevel"/>
    <w:tmpl w:val="6C78C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AF67B6"/>
    <w:multiLevelType w:val="multilevel"/>
    <w:tmpl w:val="205CF114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DD625C"/>
    <w:multiLevelType w:val="multilevel"/>
    <w:tmpl w:val="401AB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B4A88"/>
    <w:multiLevelType w:val="multilevel"/>
    <w:tmpl w:val="06CE4BF8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07335C"/>
    <w:multiLevelType w:val="multilevel"/>
    <w:tmpl w:val="2EDAE84C"/>
    <w:lvl w:ilvl="0">
      <w:start w:val="1"/>
      <w:numFmt w:val="lowerLetter"/>
      <w:lvlText w:val="%1)"/>
      <w:lvlJc w:val="left"/>
      <w:pPr>
        <w:ind w:left="834" w:hanging="360"/>
      </w:pPr>
    </w:lvl>
    <w:lvl w:ilvl="1">
      <w:start w:val="1"/>
      <w:numFmt w:val="lowerLetter"/>
      <w:lvlText w:val="%2."/>
      <w:lvlJc w:val="left"/>
      <w:pPr>
        <w:ind w:left="1554" w:hanging="360"/>
      </w:p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6C390663"/>
    <w:multiLevelType w:val="multilevel"/>
    <w:tmpl w:val="7B6C8378"/>
    <w:lvl w:ilvl="0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997C0B"/>
    <w:multiLevelType w:val="multilevel"/>
    <w:tmpl w:val="EAD2334C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6D2E5D"/>
    <w:multiLevelType w:val="multilevel"/>
    <w:tmpl w:val="D78CB83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B64B8A"/>
    <w:multiLevelType w:val="multilevel"/>
    <w:tmpl w:val="3F0E6EF8"/>
    <w:lvl w:ilvl="0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782CA7"/>
    <w:multiLevelType w:val="multilevel"/>
    <w:tmpl w:val="996670BA"/>
    <w:lvl w:ilvl="0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cs="Times New Roman" w:hint="default"/>
        <w:b/>
        <w:i w:val="0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B02B8F"/>
    <w:multiLevelType w:val="multilevel"/>
    <w:tmpl w:val="6EC88376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097C2F"/>
    <w:multiLevelType w:val="multilevel"/>
    <w:tmpl w:val="F0C8B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19"/>
  </w:num>
  <w:num w:numId="5">
    <w:abstractNumId w:val="11"/>
  </w:num>
  <w:num w:numId="6">
    <w:abstractNumId w:val="28"/>
  </w:num>
  <w:num w:numId="7">
    <w:abstractNumId w:val="24"/>
  </w:num>
  <w:num w:numId="8">
    <w:abstractNumId w:val="18"/>
  </w:num>
  <w:num w:numId="9">
    <w:abstractNumId w:val="22"/>
  </w:num>
  <w:num w:numId="10">
    <w:abstractNumId w:val="20"/>
  </w:num>
  <w:num w:numId="11">
    <w:abstractNumId w:val="26"/>
  </w:num>
  <w:num w:numId="12">
    <w:abstractNumId w:val="8"/>
  </w:num>
  <w:num w:numId="13">
    <w:abstractNumId w:val="2"/>
  </w:num>
  <w:num w:numId="14">
    <w:abstractNumId w:val="1"/>
  </w:num>
  <w:num w:numId="15">
    <w:abstractNumId w:val="4"/>
  </w:num>
  <w:num w:numId="16">
    <w:abstractNumId w:val="21"/>
  </w:num>
  <w:num w:numId="17">
    <w:abstractNumId w:val="5"/>
  </w:num>
  <w:num w:numId="18">
    <w:abstractNumId w:val="14"/>
  </w:num>
  <w:num w:numId="19">
    <w:abstractNumId w:val="16"/>
  </w:num>
  <w:num w:numId="20">
    <w:abstractNumId w:val="31"/>
  </w:num>
  <w:num w:numId="21">
    <w:abstractNumId w:val="25"/>
  </w:num>
  <w:num w:numId="22">
    <w:abstractNumId w:val="6"/>
  </w:num>
  <w:num w:numId="23">
    <w:abstractNumId w:val="10"/>
  </w:num>
  <w:num w:numId="24">
    <w:abstractNumId w:val="13"/>
  </w:num>
  <w:num w:numId="25">
    <w:abstractNumId w:val="0"/>
  </w:num>
  <w:num w:numId="26">
    <w:abstractNumId w:val="9"/>
  </w:num>
  <w:num w:numId="27">
    <w:abstractNumId w:val="7"/>
  </w:num>
  <w:num w:numId="28">
    <w:abstractNumId w:val="15"/>
  </w:num>
  <w:num w:numId="29">
    <w:abstractNumId w:val="17"/>
  </w:num>
  <w:num w:numId="30">
    <w:abstractNumId w:val="30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D"/>
    <w:rsid w:val="00002F12"/>
    <w:rsid w:val="00027EF1"/>
    <w:rsid w:val="000620BF"/>
    <w:rsid w:val="00066217"/>
    <w:rsid w:val="000B1D02"/>
    <w:rsid w:val="000B7C0F"/>
    <w:rsid w:val="000C0F7C"/>
    <w:rsid w:val="000C159B"/>
    <w:rsid w:val="00120566"/>
    <w:rsid w:val="001563B5"/>
    <w:rsid w:val="001B2F7A"/>
    <w:rsid w:val="001F1DD8"/>
    <w:rsid w:val="00242747"/>
    <w:rsid w:val="00312655"/>
    <w:rsid w:val="003227ED"/>
    <w:rsid w:val="00342ECC"/>
    <w:rsid w:val="00353626"/>
    <w:rsid w:val="00354BBE"/>
    <w:rsid w:val="00367504"/>
    <w:rsid w:val="0037416D"/>
    <w:rsid w:val="00381B53"/>
    <w:rsid w:val="00390879"/>
    <w:rsid w:val="00433C40"/>
    <w:rsid w:val="00456DE2"/>
    <w:rsid w:val="004624EF"/>
    <w:rsid w:val="00473FA4"/>
    <w:rsid w:val="004A53EC"/>
    <w:rsid w:val="004A73E5"/>
    <w:rsid w:val="00511FFC"/>
    <w:rsid w:val="0051409E"/>
    <w:rsid w:val="00517493"/>
    <w:rsid w:val="0052788B"/>
    <w:rsid w:val="0059328A"/>
    <w:rsid w:val="005A1B89"/>
    <w:rsid w:val="005E3989"/>
    <w:rsid w:val="0061360A"/>
    <w:rsid w:val="00614307"/>
    <w:rsid w:val="0070271F"/>
    <w:rsid w:val="0072142D"/>
    <w:rsid w:val="007D16DD"/>
    <w:rsid w:val="00803ADC"/>
    <w:rsid w:val="00894BA1"/>
    <w:rsid w:val="008973EA"/>
    <w:rsid w:val="00922BD6"/>
    <w:rsid w:val="009649A5"/>
    <w:rsid w:val="009B0DCD"/>
    <w:rsid w:val="009B6F84"/>
    <w:rsid w:val="009D5B98"/>
    <w:rsid w:val="009E0036"/>
    <w:rsid w:val="00A069B0"/>
    <w:rsid w:val="00A3285D"/>
    <w:rsid w:val="00AC1794"/>
    <w:rsid w:val="00AC1CA2"/>
    <w:rsid w:val="00B20EFF"/>
    <w:rsid w:val="00B96549"/>
    <w:rsid w:val="00BC26B8"/>
    <w:rsid w:val="00BC3FC5"/>
    <w:rsid w:val="00C110C8"/>
    <w:rsid w:val="00C37406"/>
    <w:rsid w:val="00C53AA2"/>
    <w:rsid w:val="00C56FFE"/>
    <w:rsid w:val="00C87992"/>
    <w:rsid w:val="00CC4AC4"/>
    <w:rsid w:val="00CD0D31"/>
    <w:rsid w:val="00CE47BC"/>
    <w:rsid w:val="00D31838"/>
    <w:rsid w:val="00D55390"/>
    <w:rsid w:val="00D85E77"/>
    <w:rsid w:val="00DA3522"/>
    <w:rsid w:val="00DA5B8A"/>
    <w:rsid w:val="00DB58DE"/>
    <w:rsid w:val="00EF3A14"/>
    <w:rsid w:val="00F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4643-6E37-4275-A3D6-8196BD69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BD6"/>
    <w:pPr>
      <w:widowControl w:val="0"/>
      <w:suppressAutoHyphens/>
    </w:pPr>
    <w:rPr>
      <w:rFonts w:ascii="Liberation Serif" w:hAnsi="Liberation Serif" w:cs="Liberation Serif"/>
      <w:color w:val="000000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02219"/>
    <w:rPr>
      <w:color w:val="0563C1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locked/>
    <w:rPr>
      <w:rFonts w:asciiTheme="majorHAnsi" w:eastAsiaTheme="majorEastAsia" w:hAnsiTheme="majorHAnsi" w:cs="Mangal"/>
      <w:b/>
      <w:bCs/>
      <w:color w:val="000000"/>
      <w:sz w:val="29"/>
      <w:szCs w:val="29"/>
      <w:lang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ascii="Liberation Serif" w:hAnsi="Liberation Serif" w:cs="Mangal"/>
      <w:color w:val="000000"/>
      <w:sz w:val="21"/>
      <w:szCs w:val="21"/>
      <w:lang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ascii="Liberation Serif" w:hAnsi="Liberation Serif" w:cs="Mangal"/>
      <w:color w:val="000000"/>
      <w:sz w:val="21"/>
      <w:szCs w:val="21"/>
      <w:lang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804AB"/>
    <w:rPr>
      <w:rFonts w:ascii="Segoe UI" w:hAnsi="Segoe UI" w:cs="Mangal"/>
      <w:color w:val="000000"/>
      <w:sz w:val="16"/>
      <w:szCs w:val="16"/>
      <w:lang w:bidi="hi-IN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eastAsia="Times New Roman" w:cs="Calibri"/>
      <w:sz w:val="2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Arial Unicode MS"/>
      <w:sz w:val="26"/>
    </w:rPr>
  </w:style>
  <w:style w:type="character" w:customStyle="1" w:styleId="ListLabel13">
    <w:name w:val="ListLabel 13"/>
    <w:qFormat/>
    <w:rPr>
      <w:rFonts w:eastAsia="SuperFrench"/>
      <w:sz w:val="26"/>
    </w:rPr>
  </w:style>
  <w:style w:type="character" w:customStyle="1" w:styleId="ListLabel14">
    <w:name w:val="ListLabel 14"/>
    <w:qFormat/>
    <w:rPr>
      <w:rFonts w:eastAsia="SuperFrench"/>
      <w:sz w:val="26"/>
    </w:rPr>
  </w:style>
  <w:style w:type="character" w:customStyle="1" w:styleId="ListLabel15">
    <w:name w:val="ListLabel 15"/>
    <w:qFormat/>
    <w:rPr>
      <w:rFonts w:eastAsia="SuperFrench"/>
      <w:sz w:val="2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455F0"/>
    <w:rPr>
      <w:rFonts w:ascii="Liberation Serif" w:hAnsi="Liberation Serif" w:cs="Mangal"/>
      <w:color w:val="000000"/>
      <w:sz w:val="24"/>
      <w:szCs w:val="21"/>
      <w:lang w:bidi="hi-IN"/>
    </w:rPr>
  </w:style>
  <w:style w:type="character" w:customStyle="1" w:styleId="ListLabel16">
    <w:name w:val="ListLabel 16"/>
    <w:qFormat/>
    <w:rPr>
      <w:rFonts w:eastAsia="Times New Roman" w:cs="Calibri"/>
      <w:sz w:val="26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Arial"/>
      <w:sz w:val="2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Times New Roman"/>
      <w:b/>
      <w:i w:val="0"/>
      <w:sz w:val="26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alibri"/>
      <w:sz w:val="26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alibri"/>
      <w:sz w:val="26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b/>
      <w:i w:val="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Times New Roman"/>
      <w:b/>
      <w:i w:val="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b/>
      <w:i w:val="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  <w:b/>
      <w:i w:val="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Times New Roman"/>
      <w:b/>
      <w:i w:val="0"/>
      <w:sz w:val="26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Times New Roman"/>
      <w:b/>
      <w:i w:val="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Times New Roman"/>
      <w:b/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Arial"/>
      <w:sz w:val="26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Times New Roman"/>
      <w:b/>
      <w:i w:val="0"/>
      <w:sz w:val="26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alibri"/>
      <w:sz w:val="26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Times New Roman"/>
      <w:b/>
      <w:i w:val="0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Times New Roman"/>
      <w:b/>
      <w:i w:val="0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Times New Roman"/>
      <w:b/>
      <w:i w:val="0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Times New Roman"/>
      <w:b/>
      <w:i w:val="0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Arial"/>
      <w:sz w:val="26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i w:val="0"/>
      <w:sz w:val="2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Calibri"/>
      <w:sz w:val="26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Times New Roman"/>
      <w:b/>
      <w:i w:val="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cs="Times New Roman"/>
      <w:b/>
      <w:i w:val="0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Calibri"/>
    </w:rPr>
  </w:style>
  <w:style w:type="character" w:customStyle="1" w:styleId="ListLabel408">
    <w:name w:val="ListLabel 408"/>
    <w:qFormat/>
    <w:rPr>
      <w:b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Times New Roman"/>
      <w:b/>
      <w:i w:val="0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Arial"/>
      <w:sz w:val="26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Times New Roman"/>
      <w:b/>
      <w:i w:val="0"/>
      <w:sz w:val="26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Calibri"/>
      <w:sz w:val="26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Times New Roman"/>
      <w:b/>
      <w:i w:val="0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rFonts w:cs="Times New Roman"/>
      <w:b/>
      <w:i w:val="0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Calibri"/>
    </w:rPr>
  </w:style>
  <w:style w:type="character" w:customStyle="1" w:styleId="ListLabel542">
    <w:name w:val="ListLabel 542"/>
    <w:qFormat/>
    <w:rPr>
      <w:b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Times New Roman"/>
      <w:b/>
      <w:i w:val="0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ascii="Calibri" w:hAnsi="Calibri" w:cs="Arial"/>
      <w:sz w:val="26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ascii="Calibri" w:hAnsi="Calibri" w:cs="Times New Roman"/>
      <w:b/>
      <w:i w:val="0"/>
      <w:sz w:val="26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ascii="Calibri" w:hAnsi="Calibri" w:cs="Calibri"/>
      <w:sz w:val="26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ascii="Calibri" w:hAnsi="Calibri" w:cs="Times New Roman"/>
      <w:b/>
      <w:i w:val="0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ascii="Calibri" w:hAnsi="Calibri"/>
      <w:b/>
    </w:rPr>
  </w:style>
  <w:style w:type="character" w:customStyle="1" w:styleId="ListLabel616">
    <w:name w:val="ListLabel 616"/>
    <w:qFormat/>
    <w:rPr>
      <w:rFonts w:ascii="Calibri" w:hAnsi="Calibri" w:cs="Times New Roman"/>
      <w:b/>
      <w:i w:val="0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Calibri" w:hAnsi="Calibri"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Calibri" w:hAnsi="Calibri"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Calibri" w:hAnsi="Calibri"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Calibri" w:hAnsi="Calibri"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Calibri" w:hAnsi="Calibri"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ascii="Calibri" w:hAnsi="Calibri"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ascii="Calibri" w:hAnsi="Calibri"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Calibri" w:hAnsi="Calibri" w:cs="Calibri"/>
    </w:rPr>
  </w:style>
  <w:style w:type="character" w:customStyle="1" w:styleId="ListLabel689">
    <w:name w:val="ListLabel 689"/>
    <w:qFormat/>
    <w:rPr>
      <w:rFonts w:ascii="Calibri" w:hAnsi="Calibri"/>
      <w:b/>
    </w:rPr>
  </w:style>
  <w:style w:type="character" w:customStyle="1" w:styleId="ListLabel690">
    <w:name w:val="ListLabel 690"/>
    <w:qFormat/>
    <w:rPr>
      <w:rFonts w:ascii="Calibri" w:hAnsi="Calibri"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ascii="Calibri" w:hAnsi="Calibri"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ascii="Calibri" w:hAnsi="Calibri" w:cs="Times New Roman"/>
      <w:b/>
      <w:i w:val="0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ascii="Calibri" w:hAnsi="Calibri"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  <w:lang w:bidi="ar-SA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qFormat/>
    <w:rPr>
      <w:lang w:bidi="ar-SA"/>
    </w:rPr>
  </w:style>
  <w:style w:type="paragraph" w:customStyle="1" w:styleId="Pie8dipagina">
    <w:name w:val="Pièe8 di pagina"/>
    <w:basedOn w:val="Normale"/>
    <w:uiPriority w:val="99"/>
    <w:qFormat/>
    <w:rPr>
      <w:lang w:bidi="ar-SA"/>
    </w:rPr>
  </w:style>
  <w:style w:type="paragraph" w:customStyle="1" w:styleId="Contenutocornice">
    <w:name w:val="Contenuto cornice"/>
    <w:basedOn w:val="Normale"/>
    <w:uiPriority w:val="99"/>
    <w:qFormat/>
    <w:rPr>
      <w:lang w:bidi="ar-SA"/>
    </w:rPr>
  </w:style>
  <w:style w:type="paragraph" w:styleId="Intestazione">
    <w:name w:val="header"/>
    <w:basedOn w:val="Normale"/>
    <w:link w:val="IntestazioneCarattere"/>
    <w:uiPriority w:val="99"/>
    <w:rPr>
      <w:lang w:val="fr-FR" w:bidi="ar-SA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  <w:rPr>
      <w:lang w:bidi="ar-SA"/>
    </w:rPr>
  </w:style>
  <w:style w:type="paragraph" w:customStyle="1" w:styleId="Textbody">
    <w:name w:val="Text body"/>
    <w:basedOn w:val="Normale"/>
    <w:qFormat/>
    <w:rsid w:val="00984BFC"/>
    <w:pPr>
      <w:widowControl/>
      <w:jc w:val="both"/>
      <w:textAlignment w:val="baseline"/>
    </w:pPr>
    <w:rPr>
      <w:rFonts w:ascii="Times New Roman" w:hAnsi="Times New Roman" w:cs="Times New Roman"/>
      <w:color w:val="00000A"/>
      <w:szCs w:val="20"/>
      <w:lang w:eastAsia="zh-CN" w:bidi="ar-SA"/>
    </w:rPr>
  </w:style>
  <w:style w:type="paragraph" w:styleId="Paragrafoelenco">
    <w:name w:val="List Paragraph"/>
    <w:basedOn w:val="Normale"/>
    <w:uiPriority w:val="99"/>
    <w:qFormat/>
    <w:rsid w:val="00BF5F17"/>
    <w:pPr>
      <w:widowControl/>
      <w:ind w:left="720"/>
      <w:contextualSpacing/>
    </w:pPr>
    <w:rPr>
      <w:rFonts w:ascii="Times New Roman" w:hAnsi="Times New Roman" w:cs="Times New Roman"/>
      <w:color w:val="00000A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04AB"/>
    <w:rPr>
      <w:rFonts w:ascii="Segoe UI" w:hAnsi="Segoe UI" w:cs="Mangal"/>
      <w:sz w:val="18"/>
      <w:szCs w:val="16"/>
    </w:rPr>
  </w:style>
  <w:style w:type="paragraph" w:styleId="Pidipagina">
    <w:name w:val="footer"/>
    <w:basedOn w:val="Normale"/>
    <w:link w:val="PidipaginaCarattere"/>
    <w:unhideWhenUsed/>
    <w:rsid w:val="008455F0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7305D1"/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E261A5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Contenutotabella">
    <w:name w:val="Contenuto tabella"/>
    <w:basedOn w:val="Standard"/>
    <w:qFormat/>
    <w:rsid w:val="00E261A5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120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27F7-5355-4377-91FC-81997A4E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 Federica</dc:creator>
  <cp:lastModifiedBy>SANTILLI Tiziana</cp:lastModifiedBy>
  <cp:revision>2</cp:revision>
  <cp:lastPrinted>2018-07-19T08:21:00Z</cp:lastPrinted>
  <dcterms:created xsi:type="dcterms:W3CDTF">2021-06-07T11:01:00Z</dcterms:created>
  <dcterms:modified xsi:type="dcterms:W3CDTF">2021-06-07T11:01:00Z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